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710" w:type="dxa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2070"/>
        <w:gridCol w:w="540"/>
        <w:gridCol w:w="2790"/>
        <w:gridCol w:w="1170"/>
        <w:gridCol w:w="1440"/>
      </w:tblGrid>
      <w:tr w:rsidR="001F0083" w:rsidRPr="00101976" w:rsidTr="00D6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E16CDD" w:rsidRPr="00E83DDC" w:rsidRDefault="00147E02" w:rsidP="001B2046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CEF6B" wp14:editId="52C9DF25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104140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775654"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3.25pt;margin-top:8.2pt;width:62.2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775654"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5F1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27146" wp14:editId="18405450">
                      <wp:simplePos x="0" y="0"/>
                      <wp:positionH relativeFrom="margin">
                        <wp:posOffset>160020</wp:posOffset>
                      </wp:positionH>
                      <wp:positionV relativeFrom="margin">
                        <wp:posOffset>69850</wp:posOffset>
                      </wp:positionV>
                      <wp:extent cx="1089660" cy="293077"/>
                      <wp:effectExtent l="0" t="0" r="1524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660" cy="293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A701A4" w:rsidRDefault="00A905F2" w:rsidP="00A701A4">
                                  <w:pPr>
                                    <w:rPr>
                                      <w:rFonts w:ascii="Cambria" w:eastAsia="Gulim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Gulim" w:hAnsi="Cambria"/>
                                      <w:sz w:val="24"/>
                                      <w:szCs w:val="24"/>
                                    </w:rPr>
                                    <w:t>Transfer (in)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.6pt;margin-top:5.5pt;width:85.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" fillcolor="#d8d8d8 [2732]" strokeweight=".5pt">
                      <v:textbox>
                        <w:txbxContent>
                          <w:p w:rsidR="005243D9" w:rsidRPr="00A701A4" w:rsidRDefault="00A905F2" w:rsidP="00A701A4">
                            <w:pPr>
                              <w:rPr>
                                <w:rFonts w:ascii="Cambria" w:eastAsia="Gulim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Gulim" w:hAnsi="Cambria"/>
                                <w:sz w:val="24"/>
                                <w:szCs w:val="24"/>
                              </w:rPr>
                              <w:t>Transfer (in)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1B2046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D67F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0" w:type="dxa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</w:tcPr>
          <w:p w:rsidR="00E83DDC" w:rsidRPr="00AE7249" w:rsidRDefault="00465656" w:rsidP="00AE7249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AE7249">
              <w:rPr>
                <w:rFonts w:ascii="Arial" w:hAnsi="Arial" w:cs="Arial"/>
                <w:b/>
                <w:caps w:val="0"/>
              </w:rPr>
              <w:t xml:space="preserve">A </w:t>
            </w:r>
            <w:r w:rsidR="00AE7249">
              <w:rPr>
                <w:rFonts w:ascii="Arial" w:hAnsi="Arial" w:cs="Arial"/>
                <w:b/>
                <w:caps w:val="0"/>
              </w:rPr>
              <w:t>Healing</w:t>
            </w:r>
            <w:r w:rsidR="009E456D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to</w:t>
            </w:r>
            <w:r w:rsidR="009E456D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Wellness</w:t>
            </w:r>
            <w:r w:rsidR="009E456D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Court’s</w:t>
            </w:r>
            <w:r w:rsidR="00A23B05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 xml:space="preserve">consent to transfer and accept a case from a </w:t>
            </w:r>
            <w:r w:rsidRPr="00AE7249">
              <w:rPr>
                <w:rFonts w:ascii="Arial" w:hAnsi="Arial" w:cs="Arial"/>
                <w:b/>
                <w:caps w:val="0"/>
              </w:rPr>
              <w:t xml:space="preserve">sister docket or </w:t>
            </w:r>
            <w:r w:rsidR="00AE7249">
              <w:rPr>
                <w:rFonts w:ascii="Arial" w:hAnsi="Arial" w:cs="Arial"/>
                <w:b/>
                <w:caps w:val="0"/>
              </w:rPr>
              <w:t>foreign</w:t>
            </w:r>
            <w:r w:rsidR="006B5513" w:rsidRPr="00AE7249">
              <w:rPr>
                <w:rFonts w:ascii="Arial" w:hAnsi="Arial" w:cs="Arial"/>
                <w:b/>
                <w:caps w:val="0"/>
              </w:rPr>
              <w:t xml:space="preserve"> j</w:t>
            </w:r>
            <w:r w:rsidR="00AE7249">
              <w:rPr>
                <w:rFonts w:ascii="Arial" w:hAnsi="Arial" w:cs="Arial"/>
                <w:b/>
                <w:caps w:val="0"/>
              </w:rPr>
              <w:t>urisdiction requires</w:t>
            </w:r>
            <w:r w:rsidR="006B5513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formal legal procedures that are p</w:t>
            </w:r>
            <w:r w:rsidR="00D519FE" w:rsidRPr="00AE7249">
              <w:rPr>
                <w:rFonts w:ascii="Arial" w:hAnsi="Arial" w:cs="Arial"/>
                <w:b/>
                <w:caps w:val="0"/>
              </w:rPr>
              <w:t xml:space="preserve">ronounced </w:t>
            </w:r>
            <w:r w:rsidR="00AE7249">
              <w:rPr>
                <w:rFonts w:ascii="Arial" w:hAnsi="Arial" w:cs="Arial"/>
                <w:b/>
                <w:caps w:val="0"/>
              </w:rPr>
              <w:t>in</w:t>
            </w:r>
            <w:r w:rsidR="002C59BE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c</w:t>
            </w:r>
            <w:r w:rsidR="00D519FE" w:rsidRPr="00AE7249">
              <w:rPr>
                <w:rFonts w:ascii="Arial" w:hAnsi="Arial" w:cs="Arial"/>
                <w:b/>
                <w:caps w:val="0"/>
              </w:rPr>
              <w:t>ourt rule</w:t>
            </w:r>
            <w:r w:rsidR="00AE7249">
              <w:rPr>
                <w:rFonts w:ascii="Arial" w:hAnsi="Arial" w:cs="Arial"/>
                <w:b/>
                <w:caps w:val="0"/>
              </w:rPr>
              <w:t>s</w:t>
            </w:r>
            <w:r w:rsidR="00D519FE" w:rsidRPr="00AE7249">
              <w:rPr>
                <w:rFonts w:ascii="Arial" w:hAnsi="Arial" w:cs="Arial"/>
                <w:b/>
                <w:caps w:val="0"/>
              </w:rPr>
              <w:t xml:space="preserve"> or </w:t>
            </w:r>
            <w:r w:rsidR="00AE7249">
              <w:rPr>
                <w:rFonts w:ascii="Arial" w:hAnsi="Arial" w:cs="Arial"/>
                <w:b/>
                <w:caps w:val="0"/>
              </w:rPr>
              <w:t>statutes</w:t>
            </w:r>
            <w:r w:rsidR="00B04611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D519FE" w:rsidRPr="00AE7249">
              <w:rPr>
                <w:rFonts w:ascii="Arial" w:hAnsi="Arial" w:cs="Arial"/>
                <w:b/>
                <w:caps w:val="0"/>
              </w:rPr>
              <w:t xml:space="preserve">and </w:t>
            </w:r>
            <w:r w:rsidR="00AE7249">
              <w:rPr>
                <w:rFonts w:ascii="Arial" w:hAnsi="Arial" w:cs="Arial"/>
                <w:b/>
                <w:caps w:val="0"/>
              </w:rPr>
              <w:t>include provisions for complete transfer and transfer for a particular purpose (</w:t>
            </w:r>
            <w:r w:rsidR="00867939" w:rsidRPr="00AE7249">
              <w:rPr>
                <w:rFonts w:ascii="Arial" w:hAnsi="Arial" w:cs="Arial"/>
                <w:b/>
                <w:caps w:val="0"/>
              </w:rPr>
              <w:t>e</w:t>
            </w:r>
            <w:r w:rsidR="00AE7249">
              <w:rPr>
                <w:rFonts w:ascii="Arial" w:hAnsi="Arial" w:cs="Arial"/>
                <w:b/>
                <w:caps w:val="0"/>
              </w:rPr>
              <w:t>.g.:</w:t>
            </w:r>
            <w:r w:rsidR="00867939" w:rsidRPr="00AE7249">
              <w:rPr>
                <w:rFonts w:ascii="Arial" w:hAnsi="Arial" w:cs="Arial"/>
                <w:b/>
                <w:caps w:val="0"/>
              </w:rPr>
              <w:t xml:space="preserve"> </w:t>
            </w:r>
            <w:r w:rsidR="00AE7249">
              <w:rPr>
                <w:rFonts w:ascii="Arial" w:hAnsi="Arial" w:cs="Arial"/>
                <w:b/>
                <w:caps w:val="0"/>
              </w:rPr>
              <w:t>assuming supervisory jurisdiction of a participant whose case originated elsewhere</w:t>
            </w:r>
            <w:r w:rsidR="00DD0CA3" w:rsidRPr="00AE7249">
              <w:rPr>
                <w:rFonts w:ascii="Arial" w:hAnsi="Arial" w:cs="Arial"/>
                <w:b/>
                <w:caps w:val="0"/>
              </w:rPr>
              <w:t>)</w:t>
            </w:r>
            <w:r w:rsidR="00B04611" w:rsidRPr="00AE7249">
              <w:rPr>
                <w:rFonts w:ascii="Arial" w:hAnsi="Arial" w:cs="Arial"/>
                <w:b/>
                <w:caps w:val="0"/>
              </w:rPr>
              <w:t xml:space="preserve">. </w:t>
            </w:r>
          </w:p>
        </w:tc>
      </w:tr>
      <w:tr w:rsidR="00D23481" w:rsidRPr="00101976" w:rsidTr="00D6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</w:tcPr>
          <w:p w:rsidR="00D23481" w:rsidRPr="00D23481" w:rsidRDefault="008855D4" w:rsidP="008855D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C0677E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C0677E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3"/>
          </w:tcPr>
          <w:p w:rsidR="00D23481" w:rsidRDefault="008855D4" w:rsidP="008855D4">
            <w:pPr>
              <w:spacing w:before="60" w:after="60"/>
              <w:jc w:val="center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Protocol </w:t>
            </w:r>
            <w:r w:rsidR="00C0677E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Procedure</w:t>
            </w:r>
            <w:r w:rsidR="00C0677E">
              <w:rPr>
                <w:color w:val="003366"/>
                <w:sz w:val="18"/>
              </w:rPr>
              <w:t xml:space="preserve"> </w:t>
            </w:r>
          </w:p>
        </w:tc>
      </w:tr>
      <w:tr w:rsidR="005113F3" w:rsidRPr="005113F3" w:rsidTr="00D6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</w:tcPr>
          <w:p w:rsidR="005A49E7" w:rsidRPr="0086093F" w:rsidRDefault="00EE524E" w:rsidP="00356234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1pt;margin-top:1.65pt;width:246.2pt;height:131.7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0325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3"/>
          </w:tcPr>
          <w:p w:rsidR="00286B85" w:rsidRPr="004B0D05" w:rsidRDefault="00CC3180" w:rsidP="008176C4">
            <w:pPr>
              <w:rPr>
                <w:rFonts w:cs="Arial"/>
                <w:b w:val="0"/>
                <w:bCs w:val="0"/>
                <w:color w:val="6E2C11" w:themeColor="accent5" w:themeShade="80"/>
                <w:sz w:val="18"/>
                <w:szCs w:val="18"/>
              </w:rPr>
            </w:pPr>
            <w:r>
              <w:rPr>
                <w:color w:val="6E2C11" w:themeColor="accent5" w:themeShade="80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782"/>
            </w:tblGrid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Motion or Order to Transfer Filed in Wellness Court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286B85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</w:rPr>
                    <w:t>Wellne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ss Court File prepared, Docketed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File Motion/</w:t>
                  </w:r>
                  <w:r w:rsidR="00AE7249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Order Forwarded f</w:t>
                  </w: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or Review  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Motion/Order Reviewed                    </w:t>
                  </w:r>
                  <w: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M</w:t>
                  </w: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otion to Transfer Granted/Denied/Other     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Order</w:t>
                  </w:r>
                  <w: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 </w:t>
                  </w: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Granting/Denying/Other Served          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Pr="00286B85" w:rsidRDefault="00286B85" w:rsidP="00AE7249">
                  <w:pPr>
                    <w:rPr>
                      <w:rFonts w:cs="Arial"/>
                      <w:b/>
                      <w:color w:val="6E2C11" w:themeColor="accent5" w:themeShade="80"/>
                      <w:sz w:val="24"/>
                      <w:szCs w:val="24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If Granted, </w:t>
                  </w:r>
                  <w:r w:rsidR="00AE7249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Participant</w:t>
                  </w: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 Ordered to Appear to Initial Hearing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Default="00286B85" w:rsidP="00286B85">
                  <w:pPr>
                    <w:ind w:left="229"/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Per original Order to Transfer                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86B85" w:rsidTr="00286B85">
              <w:tc>
                <w:tcPr>
                  <w:tcW w:w="4747" w:type="dxa"/>
                </w:tcPr>
                <w:p w:rsidR="00286B85" w:rsidRDefault="00286B85" w:rsidP="00AE7249">
                  <w:pPr>
                    <w:ind w:left="229"/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Per </w:t>
                  </w:r>
                  <w: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granted </w:t>
                  </w:r>
                  <w:r w:rsidRPr="00286B85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Motion to Transfer</w:t>
                  </w:r>
                  <w:r>
                    <w:rPr>
                      <w:color w:val="6E2C11" w:themeColor="accent5" w:themeShade="8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782" w:type="dxa"/>
                </w:tcPr>
                <w:p w:rsidR="00286B85" w:rsidRDefault="00286B85" w:rsidP="008176C4">
                  <w:pPr>
                    <w:rPr>
                      <w:rFonts w:cs="Arial"/>
                      <w:color w:val="6E2C11" w:themeColor="accent5" w:themeShade="80"/>
                      <w:sz w:val="18"/>
                      <w:szCs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D34B58" w:rsidRPr="004B0D05" w:rsidRDefault="00D34B58" w:rsidP="008176C4">
            <w:pPr>
              <w:rPr>
                <w:rFonts w:cs="Arial"/>
                <w:color w:val="6E2C11" w:themeColor="accent5" w:themeShade="80"/>
                <w:sz w:val="18"/>
                <w:szCs w:val="18"/>
              </w:rPr>
            </w:pPr>
          </w:p>
        </w:tc>
      </w:tr>
      <w:tr w:rsidR="004446E1" w:rsidRPr="001B4BFF" w:rsidTr="00D6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0C6FFB" w:rsidRPr="00C0677E" w:rsidRDefault="000C6FFB" w:rsidP="00C0677E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  <w:color w:val="auto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594521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763FA" w:rsidRPr="00C0677E">
              <w:rPr>
                <w:b/>
                <w:i/>
                <w:color w:val="auto"/>
                <w:sz w:val="20"/>
                <w:szCs w:val="20"/>
              </w:rPr>
              <w:t xml:space="preserve">Action </w:t>
            </w:r>
            <w:r w:rsidR="002763FA" w:rsidRPr="00C0677E">
              <w:rPr>
                <w:i/>
                <w:color w:val="auto"/>
              </w:rPr>
              <w:t xml:space="preserve">                                                              </w:t>
            </w:r>
            <w:r w:rsidR="00866274" w:rsidRPr="00C0677E">
              <w:rPr>
                <w:b/>
                <w:i/>
                <w:color w:val="auto"/>
                <w:sz w:val="20"/>
                <w:szCs w:val="20"/>
              </w:rPr>
              <w:t>Judge’s Respons</w:t>
            </w:r>
            <w:r w:rsidR="00465656" w:rsidRPr="00C0677E">
              <w:rPr>
                <w:b/>
                <w:i/>
                <w:color w:val="auto"/>
                <w:sz w:val="20"/>
                <w:szCs w:val="20"/>
              </w:rPr>
              <w:t>E</w:t>
            </w:r>
            <w:r w:rsidR="00C0677E" w:rsidRPr="00C0677E">
              <w:rPr>
                <w:b/>
                <w:i/>
                <w:color w:val="auto"/>
                <w:sz w:val="20"/>
                <w:szCs w:val="20"/>
              </w:rPr>
              <w:t xml:space="preserve"> – </w:t>
            </w:r>
            <w:r w:rsidR="00866274" w:rsidRPr="00C0677E">
              <w:rPr>
                <w:b/>
                <w:i/>
                <w:color w:val="auto"/>
                <w:sz w:val="20"/>
                <w:szCs w:val="20"/>
              </w:rPr>
              <w:t>RESPONSIBILITIES</w:t>
            </w:r>
            <w:r w:rsidR="002763FA" w:rsidRPr="00C0677E">
              <w:rPr>
                <w:i/>
                <w:color w:val="auto"/>
              </w:rPr>
              <w:t xml:space="preserve">                          </w:t>
            </w:r>
          </w:p>
        </w:tc>
      </w:tr>
      <w:tr w:rsidR="000C6FFB" w:rsidRPr="00101976" w:rsidTr="00D6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C067B2" w:rsidRDefault="00C067B2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Transfer Motion</w:t>
            </w:r>
          </w:p>
          <w:p w:rsidR="00C067B2" w:rsidRDefault="00C067B2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Filed in Wellness Court;</w:t>
            </w:r>
          </w:p>
          <w:p w:rsidR="00C067B2" w:rsidRDefault="00594521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File Prepared;</w:t>
            </w:r>
          </w:p>
          <w:p w:rsidR="000C6FFB" w:rsidRPr="000C6FFB" w:rsidRDefault="00C067B2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Forwarded For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0" w:type="dxa"/>
            <w:gridSpan w:val="5"/>
          </w:tcPr>
          <w:p w:rsidR="003F151A" w:rsidRPr="003F151A" w:rsidRDefault="000C6FFB" w:rsidP="004B2AC5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>Ensure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Wellness Court maintains up-to-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date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t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ransfer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rules and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r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>equirements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,</w:t>
            </w:r>
            <w:r w:rsidR="003F151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and are readily available to all parties. </w:t>
            </w:r>
          </w:p>
          <w:p w:rsidR="0085239C" w:rsidRDefault="003F151A" w:rsidP="004B2AC5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Verify </w:t>
            </w:r>
            <w:r w:rsidR="003F3692">
              <w:rPr>
                <w:rFonts w:asciiTheme="minorHAnsi" w:hAnsiTheme="minorHAnsi"/>
                <w:b w:val="0"/>
                <w:sz w:val="16"/>
                <w:szCs w:val="16"/>
              </w:rPr>
              <w:t xml:space="preserve">the </w:t>
            </w:r>
            <w:r w:rsidR="00765B1F">
              <w:rPr>
                <w:rFonts w:asciiTheme="minorHAnsi" w:hAnsiTheme="minorHAnsi"/>
                <w:b w:val="0"/>
                <w:sz w:val="16"/>
                <w:szCs w:val="16"/>
              </w:rPr>
              <w:t>required documents are attached to the Motion</w:t>
            </w:r>
            <w:r w:rsidR="00A85344">
              <w:rPr>
                <w:rFonts w:asciiTheme="minorHAnsi" w:hAnsiTheme="minorHAnsi"/>
                <w:b w:val="0"/>
                <w:sz w:val="16"/>
                <w:szCs w:val="16"/>
              </w:rPr>
              <w:t xml:space="preserve"> (</w:t>
            </w:r>
            <w:r w:rsidR="00A85344" w:rsidRPr="00A85344">
              <w:rPr>
                <w:rFonts w:asciiTheme="minorHAnsi" w:hAnsiTheme="minorHAnsi"/>
                <w:b w:val="0"/>
                <w:sz w:val="16"/>
                <w:szCs w:val="16"/>
              </w:rPr>
              <w:t>plea docum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ent</w:t>
            </w:r>
            <w:r w:rsidR="00A85344" w:rsidRPr="000C6FFB">
              <w:rPr>
                <w:rFonts w:asciiTheme="minorHAnsi" w:hAnsiTheme="minorHAnsi"/>
                <w:b w:val="0"/>
                <w:sz w:val="16"/>
                <w:szCs w:val="16"/>
              </w:rPr>
              <w:t>/</w:t>
            </w:r>
            <w:r w:rsidR="00A85344">
              <w:rPr>
                <w:rFonts w:asciiTheme="minorHAnsi" w:hAnsiTheme="minorHAnsi"/>
                <w:b w:val="0"/>
                <w:sz w:val="16"/>
                <w:szCs w:val="16"/>
              </w:rPr>
              <w:t>application/support materials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, etc.</w:t>
            </w:r>
            <w:r w:rsidR="00A85344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="000C6FFB"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         </w:t>
            </w:r>
          </w:p>
          <w:p w:rsidR="00C067B2" w:rsidRDefault="00343B6C" w:rsidP="0057606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>Confirm e</w:t>
            </w:r>
            <w:r w:rsidR="005067FC">
              <w:rPr>
                <w:rFonts w:asciiTheme="minorHAnsi" w:hAnsiTheme="minorHAnsi"/>
                <w:b w:val="0"/>
                <w:sz w:val="16"/>
                <w:szCs w:val="16"/>
              </w:rPr>
              <w:t xml:space="preserve">ligibility: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r</w:t>
            </w:r>
            <w:r w:rsidR="005067FC">
              <w:rPr>
                <w:rFonts w:asciiTheme="minorHAnsi" w:hAnsiTheme="minorHAnsi"/>
                <w:b w:val="0"/>
                <w:sz w:val="16"/>
                <w:szCs w:val="16"/>
              </w:rPr>
              <w:t xml:space="preserve">eview </w:t>
            </w:r>
            <w:r w:rsidR="003F3692">
              <w:rPr>
                <w:rFonts w:asciiTheme="minorHAnsi" w:hAnsiTheme="minorHAnsi"/>
                <w:b w:val="0"/>
                <w:sz w:val="16"/>
                <w:szCs w:val="16"/>
              </w:rPr>
              <w:t xml:space="preserve">results of </w:t>
            </w:r>
            <w:r w:rsidR="005067FC">
              <w:rPr>
                <w:rFonts w:asciiTheme="minorHAnsi" w:hAnsiTheme="minorHAnsi"/>
                <w:b w:val="0"/>
                <w:sz w:val="16"/>
                <w:szCs w:val="16"/>
              </w:rPr>
              <w:t>le</w:t>
            </w:r>
            <w:r w:rsidR="003F3692">
              <w:rPr>
                <w:rFonts w:asciiTheme="minorHAnsi" w:hAnsiTheme="minorHAnsi"/>
                <w:b w:val="0"/>
                <w:sz w:val="16"/>
                <w:szCs w:val="16"/>
              </w:rPr>
              <w:t xml:space="preserve">gal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and</w:t>
            </w:r>
            <w:r w:rsidR="003F3692">
              <w:rPr>
                <w:rFonts w:asciiTheme="minorHAnsi" w:hAnsiTheme="minorHAnsi"/>
                <w:b w:val="0"/>
                <w:sz w:val="16"/>
                <w:szCs w:val="16"/>
              </w:rPr>
              <w:t xml:space="preserve"> clinical screening to confirm </w:t>
            </w:r>
            <w:r w:rsidR="005067FC">
              <w:rPr>
                <w:rFonts w:asciiTheme="minorHAnsi" w:hAnsiTheme="minorHAnsi"/>
                <w:b w:val="0"/>
                <w:sz w:val="16"/>
                <w:szCs w:val="16"/>
              </w:rPr>
              <w:t>target population</w:t>
            </w:r>
            <w:r w:rsidR="003F3692">
              <w:rPr>
                <w:rFonts w:asciiTheme="minorHAnsi" w:hAnsiTheme="minorHAnsi"/>
                <w:b w:val="0"/>
                <w:sz w:val="16"/>
                <w:szCs w:val="16"/>
              </w:rPr>
              <w:t xml:space="preserve"> match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43B6C" w:rsidRPr="00594521" w:rsidRDefault="00343B6C" w:rsidP="00AE7249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343B6C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Return incomplete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Motion to movant with directions to file </w:t>
            </w:r>
            <w:r w:rsidR="003F369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required document(s)</w:t>
            </w:r>
            <w:r w:rsidR="00465656">
              <w:rPr>
                <w:rFonts w:asciiTheme="minorHAnsi" w:hAnsiTheme="minorHAnsi" w:cs="Arial"/>
                <w:b w:val="0"/>
                <w:sz w:val="16"/>
                <w:szCs w:val="16"/>
              </w:rPr>
              <w:t>/submit information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</w:p>
        </w:tc>
      </w:tr>
      <w:tr w:rsidR="00594521" w:rsidRPr="00157BA2" w:rsidTr="00D6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94521" w:rsidRDefault="003F3692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Tribal Court</w:t>
            </w:r>
            <w:r w:rsidR="00CD4209">
              <w:rPr>
                <w:color w:val="003366"/>
                <w:sz w:val="18"/>
              </w:rPr>
              <w:t xml:space="preserve"> </w:t>
            </w:r>
            <w:r w:rsidR="00594521">
              <w:rPr>
                <w:color w:val="003366"/>
                <w:sz w:val="18"/>
              </w:rPr>
              <w:t>Transfer Order</w:t>
            </w:r>
          </w:p>
          <w:p w:rsidR="00594521" w:rsidRDefault="00594521" w:rsidP="00AE7249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Filed in Wellness Court</w:t>
            </w:r>
            <w:r w:rsidR="00CD4209">
              <w:rPr>
                <w:color w:val="003366"/>
                <w:sz w:val="18"/>
              </w:rPr>
              <w:t xml:space="preserve"> Docket</w:t>
            </w:r>
          </w:p>
          <w:p w:rsidR="00A85344" w:rsidRDefault="00A85344" w:rsidP="00AE7249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3366"/>
                <w:sz w:val="18"/>
              </w:rPr>
              <w:t>(from criminal/civil docket</w:t>
            </w:r>
            <w:r w:rsidR="003F3692">
              <w:rPr>
                <w:color w:val="003366"/>
                <w:sz w:val="18"/>
              </w:rPr>
              <w:t>s</w:t>
            </w:r>
            <w:r>
              <w:rPr>
                <w:color w:val="003366"/>
                <w:sz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0" w:type="dxa"/>
            <w:gridSpan w:val="5"/>
          </w:tcPr>
          <w:p w:rsidR="00594521" w:rsidRDefault="00594521" w:rsidP="0059452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Ensure</w:t>
            </w:r>
            <w:r w:rsidR="00765B1F">
              <w:rPr>
                <w:rFonts w:asciiTheme="minorHAnsi" w:hAnsiTheme="minorHAnsi"/>
                <w:b w:val="0"/>
                <w:sz w:val="16"/>
                <w:szCs w:val="16"/>
              </w:rPr>
              <w:t xml:space="preserve"> all required documents are attached to the Order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>; If incomplete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,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 xml:space="preserve"> instruct mov</w:t>
            </w:r>
            <w:r w:rsidR="00CC38AC">
              <w:rPr>
                <w:rFonts w:asciiTheme="minorHAnsi" w:hAnsiTheme="minorHAnsi"/>
                <w:b w:val="0"/>
                <w:sz w:val="16"/>
                <w:szCs w:val="16"/>
              </w:rPr>
              <w:t>ant to file requisite docs/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>info.</w:t>
            </w:r>
          </w:p>
          <w:p w:rsidR="00594521" w:rsidRPr="000C6FFB" w:rsidRDefault="00594521" w:rsidP="0059452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765B1F">
              <w:rPr>
                <w:rFonts w:asciiTheme="minorHAnsi" w:hAnsiTheme="minorHAnsi"/>
                <w:b w:val="0"/>
                <w:sz w:val="16"/>
                <w:szCs w:val="16"/>
              </w:rPr>
              <w:t>If c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ase stems from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 xml:space="preserve"> plea agreement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,</w:t>
            </w:r>
            <w:r w:rsidR="00765B1F">
              <w:rPr>
                <w:rFonts w:asciiTheme="minorHAnsi" w:hAnsiTheme="minorHAnsi"/>
                <w:b w:val="0"/>
                <w:sz w:val="16"/>
                <w:szCs w:val="16"/>
              </w:rPr>
              <w:t xml:space="preserve"> check for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 xml:space="preserve">participant 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consent to Wellness C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>ourt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>participation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43B6C" w:rsidRDefault="00594521" w:rsidP="00343B6C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Confirm eligibility: r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eview results of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’s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le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 xml:space="preserve">gal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and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 xml:space="preserve">clinical screening to confirm target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population</w:t>
            </w:r>
            <w:r w:rsidR="0097654E">
              <w:rPr>
                <w:rFonts w:asciiTheme="minorHAnsi" w:hAnsiTheme="minorHAnsi"/>
                <w:b w:val="0"/>
                <w:sz w:val="16"/>
                <w:szCs w:val="16"/>
              </w:rPr>
              <w:t xml:space="preserve"> match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594521" w:rsidRPr="00A85829" w:rsidRDefault="00765B1F" w:rsidP="00AE7249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Accept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t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ransfer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and</w:t>
            </w:r>
            <w:r w:rsidR="0097654E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draft Wellness Court 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>Initial H</w:t>
            </w:r>
            <w:r w:rsidR="0097654E">
              <w:rPr>
                <w:rFonts w:asciiTheme="minorHAnsi" w:hAnsiTheme="minorHAnsi" w:cs="Arial"/>
                <w:b w:val="0"/>
                <w:sz w:val="16"/>
                <w:szCs w:val="16"/>
              </w:rPr>
              <w:t>earin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>g Order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,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instructing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participant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when </w:t>
            </w:r>
            <w:r w:rsidR="0097654E">
              <w:rPr>
                <w:rFonts w:asciiTheme="minorHAnsi" w:hAnsiTheme="minorHAnsi" w:cs="Arial"/>
                <w:b w:val="0"/>
                <w:sz w:val="16"/>
                <w:szCs w:val="16"/>
              </w:rPr>
              <w:t>to appear for 1</w:t>
            </w:r>
            <w:r w:rsidR="0097654E" w:rsidRPr="0097654E">
              <w:rPr>
                <w:rFonts w:asciiTheme="minorHAnsi" w:hAnsiTheme="minorHAnsi" w:cs="Arial"/>
                <w:b w:val="0"/>
                <w:sz w:val="16"/>
                <w:szCs w:val="16"/>
                <w:vertAlign w:val="superscript"/>
              </w:rPr>
              <w:t>st</w:t>
            </w:r>
            <w:r w:rsidR="0097654E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h</w:t>
            </w:r>
            <w:r w:rsidR="0097654E">
              <w:rPr>
                <w:rFonts w:asciiTheme="minorHAnsi" w:hAnsiTheme="minorHAnsi" w:cs="Arial"/>
                <w:b w:val="0"/>
                <w:sz w:val="16"/>
                <w:szCs w:val="16"/>
              </w:rPr>
              <w:t>earing</w:t>
            </w:r>
          </w:p>
        </w:tc>
        <w:bookmarkStart w:id="0" w:name="_GoBack"/>
        <w:bookmarkEnd w:id="0"/>
      </w:tr>
      <w:tr w:rsidR="000C6FFB" w:rsidRPr="00157BA2" w:rsidTr="00D6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9B72B4" w:rsidRDefault="00C067B2" w:rsidP="00AE7249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Court </w:t>
            </w:r>
            <w:r w:rsidR="00A85344">
              <w:rPr>
                <w:color w:val="002060"/>
                <w:sz w:val="18"/>
                <w:szCs w:val="18"/>
              </w:rPr>
              <w:t xml:space="preserve">Decides </w:t>
            </w:r>
            <w:r w:rsidR="009B72B4">
              <w:rPr>
                <w:color w:val="002060"/>
                <w:sz w:val="18"/>
                <w:szCs w:val="18"/>
              </w:rPr>
              <w:t>Motion</w:t>
            </w:r>
          </w:p>
          <w:p w:rsidR="009B72B4" w:rsidRDefault="009B72B4" w:rsidP="00AE7249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(</w:t>
            </w:r>
            <w:r w:rsidR="00FB2130">
              <w:rPr>
                <w:color w:val="002060"/>
                <w:sz w:val="18"/>
                <w:szCs w:val="18"/>
              </w:rPr>
              <w:t>Court Considerations);</w:t>
            </w:r>
          </w:p>
          <w:p w:rsidR="00A23B05" w:rsidRPr="00A23B05" w:rsidRDefault="00FB2130" w:rsidP="00AE7249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Court </w:t>
            </w:r>
            <w:r w:rsidR="009B72B4">
              <w:rPr>
                <w:color w:val="002060"/>
                <w:sz w:val="18"/>
                <w:szCs w:val="18"/>
              </w:rPr>
              <w:t xml:space="preserve">Issues </w:t>
            </w:r>
            <w:r w:rsidR="00C067B2">
              <w:rPr>
                <w:color w:val="002060"/>
                <w:sz w:val="18"/>
                <w:szCs w:val="18"/>
              </w:rPr>
              <w:t>Order</w:t>
            </w:r>
          </w:p>
          <w:p w:rsidR="000C6FFB" w:rsidRPr="00A23B05" w:rsidRDefault="000C6FFB" w:rsidP="00AE7249">
            <w:pPr>
              <w:jc w:val="center"/>
              <w:rPr>
                <w:b w:val="0"/>
                <w:color w:val="00206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0" w:type="dxa"/>
            <w:gridSpan w:val="5"/>
          </w:tcPr>
          <w:p w:rsidR="000C6FFB" w:rsidRPr="00A85344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A85829">
              <w:rPr>
                <w:rFonts w:asciiTheme="minorHAnsi" w:hAnsiTheme="minorHAnsi"/>
                <w:b w:val="0"/>
                <w:sz w:val="16"/>
                <w:szCs w:val="16"/>
              </w:rPr>
              <w:t xml:space="preserve">Ensure there is space for a new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participant in</w:t>
            </w:r>
            <w:r w:rsidR="00A85829">
              <w:rPr>
                <w:rFonts w:asciiTheme="minorHAnsi" w:hAnsiTheme="minorHAnsi"/>
                <w:b w:val="0"/>
                <w:sz w:val="16"/>
                <w:szCs w:val="16"/>
              </w:rPr>
              <w:t xml:space="preserve"> the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Wellness Court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A85344">
              <w:rPr>
                <w:rFonts w:asciiTheme="minorHAnsi" w:hAnsiTheme="minorHAnsi"/>
                <w:b w:val="0"/>
                <w:sz w:val="16"/>
                <w:szCs w:val="16"/>
              </w:rPr>
              <w:t xml:space="preserve">                    </w:t>
            </w:r>
            <w:r w:rsidR="00594521" w:rsidRPr="00A8534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</w:p>
          <w:p w:rsidR="000C6FFB" w:rsidRPr="00A85344" w:rsidRDefault="000C6FFB" w:rsidP="00485389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85344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A85344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A</w:t>
            </w:r>
            <w:r w:rsidR="00A85829">
              <w:rPr>
                <w:rFonts w:asciiTheme="minorHAnsi" w:hAnsiTheme="minorHAnsi"/>
                <w:b w:val="0"/>
                <w:sz w:val="16"/>
                <w:szCs w:val="16"/>
              </w:rPr>
              <w:t xml:space="preserve">scertain if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there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 xml:space="preserve">are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any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participation </w:t>
            </w:r>
            <w:r w:rsidR="00A85829">
              <w:rPr>
                <w:rFonts w:asciiTheme="minorHAnsi" w:hAnsiTheme="minorHAnsi"/>
                <w:b w:val="0"/>
                <w:sz w:val="16"/>
                <w:szCs w:val="16"/>
              </w:rPr>
              <w:t xml:space="preserve">issues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in regards to the transfer that requires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team i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nput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. Set for s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>taffing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C6FFB" w:rsidRDefault="000C6FFB" w:rsidP="00343B6C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85344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A85344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Confirm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A85829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was</w:t>
            </w:r>
            <w:r w:rsidR="00576066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informed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 of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the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>rights/resp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onsibilities of Wellness Court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participation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and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CD4209">
              <w:rPr>
                <w:rFonts w:asciiTheme="minorHAnsi" w:hAnsiTheme="minorHAnsi"/>
                <w:b w:val="0"/>
                <w:sz w:val="16"/>
                <w:szCs w:val="16"/>
              </w:rPr>
              <w:t xml:space="preserve">impact on 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>due process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="00343B6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:rsidR="00D01FA7" w:rsidRPr="00157891" w:rsidRDefault="00D01FA7" w:rsidP="00D01FA7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157891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Check status of </w:t>
            </w:r>
            <w:r w:rsidR="00AE72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participant’s c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linical </w:t>
            </w:r>
            <w:r w:rsidR="00AE72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assessment. I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f </w:t>
            </w:r>
            <w:r w:rsidR="00CD420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not complete or outdated, 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schedule </w:t>
            </w:r>
            <w:r w:rsidR="00AE724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a</w:t>
            </w:r>
            <w:r w:rsidR="00CD4209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ssessment 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immediately</w:t>
            </w:r>
            <w:r w:rsidR="00B73B8B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343B6C" w:rsidRPr="00343B6C" w:rsidRDefault="00343B6C" w:rsidP="00CD4209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F4485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Produce </w:t>
            </w:r>
            <w:r w:rsidR="00A8582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Order: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g</w:t>
            </w:r>
            <w:r w:rsidR="00F4485B">
              <w:rPr>
                <w:rFonts w:asciiTheme="minorHAnsi" w:hAnsiTheme="minorHAnsi" w:cs="Arial"/>
                <w:b w:val="0"/>
                <w:sz w:val="16"/>
                <w:szCs w:val="16"/>
              </w:rPr>
              <w:t>ranting</w:t>
            </w:r>
            <w:r w:rsidR="00A8582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or d</w:t>
            </w:r>
            <w:r w:rsidR="00CD420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enying </w:t>
            </w:r>
            <w:r w:rsidR="00A8582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Motion, </w:t>
            </w:r>
            <w:r w:rsidR="00F4485B">
              <w:rPr>
                <w:rFonts w:asciiTheme="minorHAnsi" w:hAnsiTheme="minorHAnsi" w:cs="Arial"/>
                <w:b w:val="0"/>
                <w:sz w:val="16"/>
                <w:szCs w:val="16"/>
              </w:rPr>
              <w:t>with relevant findings to support decision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</w:p>
        </w:tc>
      </w:tr>
      <w:tr w:rsidR="000C6FFB" w:rsidRPr="00157BA2" w:rsidTr="00D6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157891" w:rsidRPr="00264F09" w:rsidRDefault="005067FC" w:rsidP="00AE7249">
            <w:pPr>
              <w:jc w:val="center"/>
              <w:rPr>
                <w:b w:val="0"/>
                <w:bCs w:val="0"/>
                <w:color w:val="003366"/>
                <w:sz w:val="18"/>
              </w:rPr>
            </w:pPr>
            <w:r>
              <w:rPr>
                <w:color w:val="002060"/>
                <w:sz w:val="18"/>
                <w:szCs w:val="18"/>
              </w:rPr>
              <w:t xml:space="preserve">Wellness Court </w:t>
            </w:r>
            <w:r w:rsidR="00F4485B">
              <w:rPr>
                <w:color w:val="002060"/>
                <w:sz w:val="18"/>
                <w:szCs w:val="18"/>
              </w:rPr>
              <w:t xml:space="preserve">Order </w:t>
            </w:r>
            <w:r w:rsidR="00C067B2">
              <w:rPr>
                <w:color w:val="002060"/>
                <w:sz w:val="18"/>
                <w:szCs w:val="18"/>
              </w:rPr>
              <w:t xml:space="preserve">Served; </w:t>
            </w:r>
            <w:r>
              <w:rPr>
                <w:color w:val="002060"/>
                <w:sz w:val="18"/>
                <w:szCs w:val="18"/>
              </w:rPr>
              <w:t xml:space="preserve">New </w:t>
            </w:r>
            <w:r w:rsidR="00AE7249">
              <w:rPr>
                <w:color w:val="002060"/>
                <w:sz w:val="18"/>
                <w:szCs w:val="18"/>
              </w:rPr>
              <w:t>Participant</w:t>
            </w:r>
            <w:r w:rsidR="00157891" w:rsidRPr="00157891">
              <w:rPr>
                <w:color w:val="002060"/>
                <w:sz w:val="18"/>
                <w:szCs w:val="18"/>
              </w:rPr>
              <w:t xml:space="preserve"> Ordered to Appear to Initial Hearing</w:t>
            </w:r>
          </w:p>
          <w:p w:rsidR="000C6FFB" w:rsidRPr="00264F09" w:rsidRDefault="000C6FFB" w:rsidP="00AE7249">
            <w:pPr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10" w:type="dxa"/>
            <w:gridSpan w:val="5"/>
          </w:tcPr>
          <w:p w:rsidR="000C0499" w:rsidRDefault="000C0499" w:rsidP="009B72B4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If Denied, state relevant findings supporting decision (i.e., lack of s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 xml:space="preserve">pace, </w:t>
            </w:r>
            <w:r w:rsidR="00AE7249">
              <w:rPr>
                <w:rFonts w:asciiTheme="minorHAnsi" w:hAnsiTheme="minorHAnsi"/>
                <w:b w:val="0"/>
                <w:sz w:val="16"/>
                <w:szCs w:val="16"/>
              </w:rPr>
              <w:t>criminal record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 xml:space="preserve">, </w:t>
            </w:r>
            <w:proofErr w:type="spellStart"/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x</w:t>
            </w:r>
            <w:proofErr w:type="spellEnd"/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needs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cannot be met)</w:t>
            </w:r>
          </w:p>
          <w:p w:rsidR="00157891" w:rsidRDefault="005067FC" w:rsidP="009B72B4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proofErr w:type="gramStart"/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="00D01FA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</w:t>
            </w:r>
            <w:r w:rsidR="000C0499">
              <w:rPr>
                <w:rFonts w:asciiTheme="minorHAnsi" w:hAnsiTheme="minorHAnsi" w:cs="Arial"/>
                <w:b w:val="0"/>
                <w:sz w:val="16"/>
                <w:szCs w:val="16"/>
              </w:rPr>
              <w:t>If</w:t>
            </w:r>
            <w:proofErr w:type="gramEnd"/>
            <w:r w:rsidR="000C049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Granted,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serve Order to team members prior to next s</w:t>
            </w:r>
            <w:r w:rsidR="00D01FA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taffing for </w:t>
            </w:r>
            <w:r w:rsidR="000C049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their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review and</w:t>
            </w:r>
            <w:r w:rsidR="00D01FA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introduction of new </w:t>
            </w:r>
            <w:r w:rsidR="00AE7249">
              <w:rPr>
                <w:rFonts w:asciiTheme="minorHAnsi" w:hAnsiTheme="minorHAnsi" w:cs="Arial"/>
                <w:b w:val="0"/>
                <w:sz w:val="16"/>
                <w:szCs w:val="16"/>
              </w:rPr>
              <w:t>participant</w:t>
            </w:r>
            <w:r w:rsidR="00B73B8B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  <w:r w:rsidR="009B72B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</w:p>
          <w:p w:rsidR="00157891" w:rsidRPr="00157891" w:rsidRDefault="00157891" w:rsidP="00157891">
            <w:pPr>
              <w:rPr>
                <w:rFonts w:asciiTheme="minorHAnsi" w:hAnsiTheme="minorHAnsi" w:cs="Arial"/>
                <w:b w:val="0"/>
                <w:color w:val="000000" w:themeColor="text1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1B2046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If Granted, serve o</w:t>
            </w:r>
            <w:r w:rsidR="00D01FA7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rder to </w:t>
            </w:r>
            <w:r w:rsidR="001B2046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participant </w:t>
            </w:r>
            <w:r w:rsidR="00D01FA7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with Initial Hearing Order stating the date to appear for the 1</w:t>
            </w:r>
            <w:r w:rsidR="00D01FA7" w:rsidRPr="00D01FA7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D01FA7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 hearing</w:t>
            </w:r>
            <w:r w:rsidR="00B73B8B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0C0499" w:rsidRPr="00D01FA7" w:rsidRDefault="000C6FFB" w:rsidP="001B2046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0C0499">
              <w:rPr>
                <w:rFonts w:asciiTheme="minorHAnsi" w:hAnsiTheme="minorHAnsi"/>
                <w:b w:val="0"/>
                <w:sz w:val="16"/>
                <w:szCs w:val="16"/>
              </w:rPr>
              <w:t>I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 xml:space="preserve">nclude in </w:t>
            </w:r>
            <w:r w:rsidR="000C0499">
              <w:rPr>
                <w:rFonts w:asciiTheme="minorHAnsi" w:hAnsiTheme="minorHAnsi"/>
                <w:b w:val="0"/>
                <w:sz w:val="16"/>
                <w:szCs w:val="16"/>
              </w:rPr>
              <w:t xml:space="preserve">Initial Hearing Order 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 xml:space="preserve">instructions to the new </w:t>
            </w:r>
            <w:r w:rsidR="001B2046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 xml:space="preserve"> of what </w:t>
            </w:r>
            <w:r w:rsidR="000C0499">
              <w:rPr>
                <w:rFonts w:asciiTheme="minorHAnsi" w:hAnsiTheme="minorHAnsi"/>
                <w:b w:val="0"/>
                <w:sz w:val="16"/>
                <w:szCs w:val="16"/>
              </w:rPr>
              <w:t xml:space="preserve">to expect 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 xml:space="preserve">at </w:t>
            </w:r>
            <w:r w:rsidR="000C0499">
              <w:rPr>
                <w:rFonts w:asciiTheme="minorHAnsi" w:hAnsiTheme="minorHAnsi"/>
                <w:b w:val="0"/>
                <w:sz w:val="16"/>
                <w:szCs w:val="16"/>
              </w:rPr>
              <w:t>the Initial H</w:t>
            </w:r>
            <w:r w:rsidR="00237431">
              <w:rPr>
                <w:rFonts w:asciiTheme="minorHAnsi" w:hAnsiTheme="minorHAnsi"/>
                <w:b w:val="0"/>
                <w:sz w:val="16"/>
                <w:szCs w:val="16"/>
              </w:rPr>
              <w:t>earing</w:t>
            </w:r>
            <w:r w:rsidR="00B73B8B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</w:tc>
      </w:tr>
      <w:tr w:rsidR="00EB350F" w:rsidRPr="001B4BFF" w:rsidTr="00D6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EB350F" w:rsidRPr="004B2AC5" w:rsidRDefault="00EB350F" w:rsidP="00BA2157">
            <w:pPr>
              <w:spacing w:before="60" w:after="60"/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color w:val="6E2C11" w:themeColor="accent5" w:themeShade="80"/>
                <w:sz w:val="18"/>
                <w:szCs w:val="18"/>
              </w:rPr>
              <w:t xml:space="preserve">Record, Research &amp; </w:t>
            </w:r>
            <w:r w:rsidR="00C242AF">
              <w:rPr>
                <w:color w:val="6E2C11" w:themeColor="accent5" w:themeShade="80"/>
                <w:sz w:val="18"/>
                <w:szCs w:val="18"/>
              </w:rPr>
              <w:t xml:space="preserve">Rule </w:t>
            </w:r>
            <w:r w:rsidRPr="00324264">
              <w:rPr>
                <w:color w:val="6E2C11" w:themeColor="accent5" w:themeShade="80"/>
                <w:sz w:val="18"/>
                <w:szCs w:val="18"/>
              </w:rPr>
              <w:t>References</w:t>
            </w:r>
          </w:p>
        </w:tc>
      </w:tr>
      <w:tr w:rsidR="00335117" w:rsidRPr="00101976" w:rsidTr="00D6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Merge w:val="restart"/>
          </w:tcPr>
          <w:p w:rsidR="00335117" w:rsidRDefault="00335117" w:rsidP="004B2AC5">
            <w:pPr>
              <w:rPr>
                <w:color w:val="6E2C11" w:themeColor="accent5" w:themeShade="80"/>
                <w:sz w:val="16"/>
                <w:szCs w:val="16"/>
                <w:u w:val="single"/>
              </w:rPr>
            </w:pPr>
            <w:r w:rsidRPr="004B2AC5">
              <w:rPr>
                <w:sz w:val="16"/>
                <w:szCs w:val="16"/>
              </w:rPr>
              <w:t xml:space="preserve">                  </w:t>
            </w:r>
            <w:r w:rsidRPr="00324264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335117" w:rsidRPr="000C0499" w:rsidRDefault="00335117" w:rsidP="004B2AC5">
            <w:pPr>
              <w:rPr>
                <w:sz w:val="10"/>
                <w:szCs w:val="10"/>
                <w:u w:val="single"/>
              </w:rPr>
            </w:pP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Transfer Motions filed in Court quarterly</w:t>
            </w: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Transfer Motions granted/denied</w:t>
            </w: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candidate requests or self-referrals to the Court</w:t>
            </w: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candidate requests granted/denied</w:t>
            </w: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date of filing motion to initial hearing</w:t>
            </w:r>
          </w:p>
          <w:p w:rsidR="00335117" w:rsidRDefault="00335117" w:rsidP="0023743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date of filing motion to court decision</w:t>
            </w:r>
          </w:p>
          <w:p w:rsidR="00335117" w:rsidRPr="001B4BFF" w:rsidRDefault="00335117" w:rsidP="00237431">
            <w:pPr>
              <w:spacing w:line="360" w:lineRule="auto"/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># of days from date of filing motion to review Hearing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 w:val="restart"/>
          </w:tcPr>
          <w:p w:rsidR="00335117" w:rsidRPr="009A532D" w:rsidRDefault="00335117" w:rsidP="00124B6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335117" w:rsidRPr="00356234" w:rsidRDefault="00335117" w:rsidP="00356234">
            <w:pPr>
              <w:spacing w:line="360" w:lineRule="auto"/>
              <w:rPr>
                <w:color w:val="000000" w:themeColor="text1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335117" w:rsidRPr="009A532D" w:rsidRDefault="00335117" w:rsidP="00264F09">
            <w:pPr>
              <w:spacing w:after="60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335117">
              <w:rPr>
                <w:sz w:val="16"/>
                <w:szCs w:val="16"/>
                <w:u w:val="single"/>
              </w:rPr>
              <w:t>Court Rules</w:t>
            </w:r>
          </w:p>
        </w:tc>
      </w:tr>
      <w:tr w:rsidR="00335117" w:rsidRPr="00335117" w:rsidTr="00D6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Merge/>
          </w:tcPr>
          <w:p w:rsidR="00335117" w:rsidRPr="001B4BFF" w:rsidRDefault="00335117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/>
          </w:tcPr>
          <w:p w:rsidR="00335117" w:rsidRPr="001B4BFF" w:rsidRDefault="00335117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335117" w:rsidRPr="00335117" w:rsidRDefault="00335117" w:rsidP="00335117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335117">
              <w:rPr>
                <w:sz w:val="16"/>
                <w:szCs w:val="16"/>
                <w:u w:val="single"/>
              </w:rPr>
              <w:t>Code/Statute Section</w:t>
            </w:r>
            <w:r>
              <w:rPr>
                <w:sz w:val="16"/>
                <w:szCs w:val="16"/>
                <w:u w:val="single"/>
              </w:rPr>
              <w:t>s</w:t>
            </w:r>
          </w:p>
        </w:tc>
      </w:tr>
      <w:tr w:rsidR="00EB350F" w:rsidRPr="00101976" w:rsidTr="00D67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120539" w:rsidRPr="00120539" w:rsidRDefault="00CC3180" w:rsidP="00C0677E">
            <w:pPr>
              <w:spacing w:before="60" w:after="60"/>
              <w:rPr>
                <w:sz w:val="18"/>
                <w:szCs w:val="18"/>
              </w:rPr>
            </w:pPr>
            <w:r>
              <w:rPr>
                <w:color w:val="003366"/>
                <w:sz w:val="18"/>
              </w:rPr>
              <w:t xml:space="preserve">Resources/Technology:  </w:t>
            </w:r>
            <w:hyperlink r:id="rId12" w:history="1">
              <w:r w:rsidRPr="00576777">
                <w:rPr>
                  <w:rStyle w:val="Hyperlink"/>
                  <w:sz w:val="18"/>
                </w:rPr>
                <w:t>www.WellnessCourts.org</w:t>
              </w:r>
            </w:hyperlink>
            <w:r w:rsidR="001B2046" w:rsidRPr="001B2046">
              <w:t>,</w:t>
            </w:r>
            <w:r w:rsidRPr="001B2046">
              <w:rPr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 xml:space="preserve"> </w:t>
            </w:r>
            <w:hyperlink r:id="rId13" w:history="1">
              <w:r w:rsidR="001B2046" w:rsidRPr="0059738A">
                <w:rPr>
                  <w:rStyle w:val="Hyperlink"/>
                  <w:sz w:val="18"/>
                </w:rPr>
                <w:t>www.home.tlpi.org</w:t>
              </w:r>
            </w:hyperlink>
            <w:r w:rsidR="001B2046">
              <w:rPr>
                <w:sz w:val="18"/>
              </w:rPr>
              <w:t>,</w:t>
            </w:r>
            <w:r>
              <w:rPr>
                <w:color w:val="003366"/>
                <w:sz w:val="18"/>
              </w:rPr>
              <w:t xml:space="preserve">  </w:t>
            </w:r>
            <w:hyperlink r:id="rId14" w:history="1">
              <w:r w:rsidR="00C0677E" w:rsidRPr="003828AC">
                <w:rPr>
                  <w:rStyle w:val="Hyperlink"/>
                  <w:sz w:val="18"/>
                </w:rPr>
                <w:t>www.ndci.org</w:t>
              </w:r>
            </w:hyperlink>
            <w:r w:rsidR="00EB350F">
              <w:rPr>
                <w:sz w:val="18"/>
              </w:rPr>
              <w:t xml:space="preserve">, </w:t>
            </w:r>
            <w:hyperlink r:id="rId15" w:history="1">
              <w:r w:rsidR="00C0677E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C0677E" w:rsidRPr="00A40F47">
              <w:rPr>
                <w:sz w:val="18"/>
                <w:szCs w:val="18"/>
              </w:rPr>
              <w:t>,</w:t>
            </w:r>
            <w:r w:rsidR="00C0677E">
              <w:rPr>
                <w:sz w:val="18"/>
                <w:szCs w:val="18"/>
              </w:rPr>
              <w:t xml:space="preserve"> </w:t>
            </w:r>
            <w:hyperlink r:id="rId16" w:history="1">
              <w:r w:rsidR="00C0677E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C0677E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C0677E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</w:p>
        </w:tc>
      </w:tr>
    </w:tbl>
    <w:p w:rsidR="001F0083" w:rsidRPr="001B2046" w:rsidRDefault="001F0083" w:rsidP="00265045">
      <w:pPr>
        <w:ind w:left="720" w:right="468"/>
        <w:rPr>
          <w:rFonts w:asciiTheme="minorHAnsi" w:hAnsiTheme="minorHAnsi"/>
          <w:sz w:val="24"/>
          <w:szCs w:val="24"/>
        </w:rPr>
      </w:pPr>
    </w:p>
    <w:sectPr w:rsidR="001F0083" w:rsidRPr="001B2046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4E" w:rsidRDefault="00EE524E">
      <w:pPr>
        <w:spacing w:line="20" w:lineRule="exact"/>
      </w:pPr>
    </w:p>
  </w:endnote>
  <w:endnote w:type="continuationSeparator" w:id="0">
    <w:p w:rsidR="00EE524E" w:rsidRDefault="00EE524E">
      <w:r>
        <w:t xml:space="preserve"> </w:t>
      </w:r>
    </w:p>
  </w:endnote>
  <w:endnote w:type="continuationNotice" w:id="1">
    <w:p w:rsidR="00EE524E" w:rsidRDefault="00EE52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</w:t>
    </w:r>
    <w:r w:rsidR="00CE12AA">
      <w:rPr>
        <w:rFonts w:cs="Arial"/>
        <w:b/>
        <w:bCs/>
        <w:sz w:val="10"/>
        <w:szCs w:val="10"/>
      </w:rPr>
      <w:t xml:space="preserve">WELLNESS COURT –  </w:t>
    </w:r>
    <w:r w:rsidR="00555B1E" w:rsidRPr="00555B1E">
      <w:rPr>
        <w:rFonts w:cs="Arial"/>
        <w:b/>
        <w:bCs/>
        <w:sz w:val="10"/>
        <w:szCs w:val="10"/>
      </w:rPr>
      <w:t>BENCH CARD</w:t>
    </w:r>
    <w:r w:rsidR="00CE12AA">
      <w:rPr>
        <w:rFonts w:cs="Arial"/>
        <w:b/>
        <w:bCs/>
        <w:sz w:val="10"/>
        <w:szCs w:val="10"/>
      </w:rPr>
      <w:t xml:space="preserve"> #11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4E" w:rsidRDefault="00EE524E">
      <w:r>
        <w:separator/>
      </w:r>
    </w:p>
  </w:footnote>
  <w:footnote w:type="continuationSeparator" w:id="0">
    <w:p w:rsidR="00EE524E" w:rsidRDefault="00EE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468A4"/>
    <w:rsid w:val="0004769F"/>
    <w:rsid w:val="00050936"/>
    <w:rsid w:val="00057823"/>
    <w:rsid w:val="00066A49"/>
    <w:rsid w:val="00086699"/>
    <w:rsid w:val="00087EF0"/>
    <w:rsid w:val="000C0499"/>
    <w:rsid w:val="000C32D3"/>
    <w:rsid w:val="000C6FFB"/>
    <w:rsid w:val="000C7B8D"/>
    <w:rsid w:val="000C7CE4"/>
    <w:rsid w:val="000E2BDD"/>
    <w:rsid w:val="000F01DA"/>
    <w:rsid w:val="00101976"/>
    <w:rsid w:val="00101DEE"/>
    <w:rsid w:val="00105873"/>
    <w:rsid w:val="00117F8A"/>
    <w:rsid w:val="00120539"/>
    <w:rsid w:val="001208C7"/>
    <w:rsid w:val="00124B6B"/>
    <w:rsid w:val="0013528E"/>
    <w:rsid w:val="00144BAE"/>
    <w:rsid w:val="00147E02"/>
    <w:rsid w:val="00153781"/>
    <w:rsid w:val="00157891"/>
    <w:rsid w:val="00157BA2"/>
    <w:rsid w:val="00170982"/>
    <w:rsid w:val="00171494"/>
    <w:rsid w:val="00177B06"/>
    <w:rsid w:val="00185877"/>
    <w:rsid w:val="00187E22"/>
    <w:rsid w:val="001A0F8E"/>
    <w:rsid w:val="001A36C2"/>
    <w:rsid w:val="001B2046"/>
    <w:rsid w:val="001B3FFD"/>
    <w:rsid w:val="001B46B7"/>
    <w:rsid w:val="001B4BFF"/>
    <w:rsid w:val="001F0083"/>
    <w:rsid w:val="002001D7"/>
    <w:rsid w:val="00214811"/>
    <w:rsid w:val="0021500A"/>
    <w:rsid w:val="0021516F"/>
    <w:rsid w:val="00220A83"/>
    <w:rsid w:val="00231183"/>
    <w:rsid w:val="00231CC1"/>
    <w:rsid w:val="00233773"/>
    <w:rsid w:val="00237431"/>
    <w:rsid w:val="002400AC"/>
    <w:rsid w:val="002420C0"/>
    <w:rsid w:val="00242B4D"/>
    <w:rsid w:val="0025561E"/>
    <w:rsid w:val="00261371"/>
    <w:rsid w:val="00264F09"/>
    <w:rsid w:val="00265045"/>
    <w:rsid w:val="0027228C"/>
    <w:rsid w:val="002763FA"/>
    <w:rsid w:val="002801DB"/>
    <w:rsid w:val="0028134B"/>
    <w:rsid w:val="00284167"/>
    <w:rsid w:val="00286B85"/>
    <w:rsid w:val="002A7D7F"/>
    <w:rsid w:val="002B0531"/>
    <w:rsid w:val="002C38EC"/>
    <w:rsid w:val="002C59BE"/>
    <w:rsid w:val="002D3E60"/>
    <w:rsid w:val="002F1645"/>
    <w:rsid w:val="002F2DDE"/>
    <w:rsid w:val="002F4FB0"/>
    <w:rsid w:val="00316126"/>
    <w:rsid w:val="0032411C"/>
    <w:rsid w:val="00324264"/>
    <w:rsid w:val="00335117"/>
    <w:rsid w:val="00343B6C"/>
    <w:rsid w:val="00356234"/>
    <w:rsid w:val="00363A6C"/>
    <w:rsid w:val="0037031E"/>
    <w:rsid w:val="00373425"/>
    <w:rsid w:val="003855CF"/>
    <w:rsid w:val="003A508B"/>
    <w:rsid w:val="003B0B15"/>
    <w:rsid w:val="003B3A75"/>
    <w:rsid w:val="003C5795"/>
    <w:rsid w:val="003C5E97"/>
    <w:rsid w:val="003D761F"/>
    <w:rsid w:val="003D7BE3"/>
    <w:rsid w:val="003E2CF8"/>
    <w:rsid w:val="003F151A"/>
    <w:rsid w:val="003F2231"/>
    <w:rsid w:val="003F2F29"/>
    <w:rsid w:val="003F3692"/>
    <w:rsid w:val="00401E94"/>
    <w:rsid w:val="00405287"/>
    <w:rsid w:val="00420638"/>
    <w:rsid w:val="0042410B"/>
    <w:rsid w:val="00425E65"/>
    <w:rsid w:val="00426CFE"/>
    <w:rsid w:val="00434175"/>
    <w:rsid w:val="0043615B"/>
    <w:rsid w:val="004446E1"/>
    <w:rsid w:val="0045023F"/>
    <w:rsid w:val="00465656"/>
    <w:rsid w:val="004725F1"/>
    <w:rsid w:val="00485389"/>
    <w:rsid w:val="004908AC"/>
    <w:rsid w:val="004B05CD"/>
    <w:rsid w:val="004B0D05"/>
    <w:rsid w:val="004B2AC5"/>
    <w:rsid w:val="004E14F3"/>
    <w:rsid w:val="004F04DC"/>
    <w:rsid w:val="00500A20"/>
    <w:rsid w:val="00503E6C"/>
    <w:rsid w:val="005067FC"/>
    <w:rsid w:val="005113F3"/>
    <w:rsid w:val="005243D9"/>
    <w:rsid w:val="00526406"/>
    <w:rsid w:val="0053784F"/>
    <w:rsid w:val="00544646"/>
    <w:rsid w:val="00552199"/>
    <w:rsid w:val="00555B1E"/>
    <w:rsid w:val="00562861"/>
    <w:rsid w:val="005663E2"/>
    <w:rsid w:val="00566D24"/>
    <w:rsid w:val="00566EA2"/>
    <w:rsid w:val="00570192"/>
    <w:rsid w:val="00571E71"/>
    <w:rsid w:val="00572C38"/>
    <w:rsid w:val="005751FE"/>
    <w:rsid w:val="00575DB7"/>
    <w:rsid w:val="00576066"/>
    <w:rsid w:val="005771D9"/>
    <w:rsid w:val="00594521"/>
    <w:rsid w:val="005A2106"/>
    <w:rsid w:val="005A2797"/>
    <w:rsid w:val="005A2DC8"/>
    <w:rsid w:val="005A49E7"/>
    <w:rsid w:val="005A5AC4"/>
    <w:rsid w:val="005A6D9A"/>
    <w:rsid w:val="005B573E"/>
    <w:rsid w:val="005D02E8"/>
    <w:rsid w:val="005D1290"/>
    <w:rsid w:val="005E38EA"/>
    <w:rsid w:val="005E4D54"/>
    <w:rsid w:val="005E57D2"/>
    <w:rsid w:val="005E7C6C"/>
    <w:rsid w:val="005F2B99"/>
    <w:rsid w:val="00603B90"/>
    <w:rsid w:val="00605726"/>
    <w:rsid w:val="00610F9C"/>
    <w:rsid w:val="00611189"/>
    <w:rsid w:val="006307FA"/>
    <w:rsid w:val="00631E44"/>
    <w:rsid w:val="00643308"/>
    <w:rsid w:val="00645E47"/>
    <w:rsid w:val="0066237E"/>
    <w:rsid w:val="0067005F"/>
    <w:rsid w:val="00673BE2"/>
    <w:rsid w:val="006829BD"/>
    <w:rsid w:val="00695B71"/>
    <w:rsid w:val="006B5513"/>
    <w:rsid w:val="006B5674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12768"/>
    <w:rsid w:val="007200E4"/>
    <w:rsid w:val="00724F0D"/>
    <w:rsid w:val="0073127A"/>
    <w:rsid w:val="00737E0F"/>
    <w:rsid w:val="00747948"/>
    <w:rsid w:val="00752362"/>
    <w:rsid w:val="007528D8"/>
    <w:rsid w:val="00756E7F"/>
    <w:rsid w:val="007577FD"/>
    <w:rsid w:val="00760830"/>
    <w:rsid w:val="0076362D"/>
    <w:rsid w:val="00764501"/>
    <w:rsid w:val="00764D0F"/>
    <w:rsid w:val="00765B1F"/>
    <w:rsid w:val="00766806"/>
    <w:rsid w:val="00766A7F"/>
    <w:rsid w:val="00775654"/>
    <w:rsid w:val="00790A99"/>
    <w:rsid w:val="00790EC5"/>
    <w:rsid w:val="007941DB"/>
    <w:rsid w:val="007A07EE"/>
    <w:rsid w:val="007A498E"/>
    <w:rsid w:val="007B6342"/>
    <w:rsid w:val="007C1713"/>
    <w:rsid w:val="007C7DEB"/>
    <w:rsid w:val="007D3CA0"/>
    <w:rsid w:val="007E33F5"/>
    <w:rsid w:val="007F5C7E"/>
    <w:rsid w:val="008003FC"/>
    <w:rsid w:val="00804042"/>
    <w:rsid w:val="008055A3"/>
    <w:rsid w:val="00816C43"/>
    <w:rsid w:val="008176C4"/>
    <w:rsid w:val="00821EE8"/>
    <w:rsid w:val="008227AF"/>
    <w:rsid w:val="00845392"/>
    <w:rsid w:val="008475AC"/>
    <w:rsid w:val="0085239C"/>
    <w:rsid w:val="0086093F"/>
    <w:rsid w:val="008621AC"/>
    <w:rsid w:val="00866274"/>
    <w:rsid w:val="00867939"/>
    <w:rsid w:val="00870655"/>
    <w:rsid w:val="00877711"/>
    <w:rsid w:val="00880194"/>
    <w:rsid w:val="008855D4"/>
    <w:rsid w:val="008B197D"/>
    <w:rsid w:val="008B20D6"/>
    <w:rsid w:val="008B3FF5"/>
    <w:rsid w:val="008B4AEE"/>
    <w:rsid w:val="008C2A67"/>
    <w:rsid w:val="008E04B7"/>
    <w:rsid w:val="008F33F0"/>
    <w:rsid w:val="0090251E"/>
    <w:rsid w:val="00924038"/>
    <w:rsid w:val="00926506"/>
    <w:rsid w:val="00931509"/>
    <w:rsid w:val="0094644A"/>
    <w:rsid w:val="00954B43"/>
    <w:rsid w:val="009551FE"/>
    <w:rsid w:val="00961F99"/>
    <w:rsid w:val="00967C1F"/>
    <w:rsid w:val="009725E2"/>
    <w:rsid w:val="0097654E"/>
    <w:rsid w:val="0099345B"/>
    <w:rsid w:val="009A532D"/>
    <w:rsid w:val="009B71C9"/>
    <w:rsid w:val="009B72B4"/>
    <w:rsid w:val="009D294F"/>
    <w:rsid w:val="009D7532"/>
    <w:rsid w:val="009E456D"/>
    <w:rsid w:val="009F6677"/>
    <w:rsid w:val="00A07E6C"/>
    <w:rsid w:val="00A14F7F"/>
    <w:rsid w:val="00A23B05"/>
    <w:rsid w:val="00A311B5"/>
    <w:rsid w:val="00A3246A"/>
    <w:rsid w:val="00A350C1"/>
    <w:rsid w:val="00A45214"/>
    <w:rsid w:val="00A62210"/>
    <w:rsid w:val="00A701A4"/>
    <w:rsid w:val="00A7214A"/>
    <w:rsid w:val="00A73F2F"/>
    <w:rsid w:val="00A8266C"/>
    <w:rsid w:val="00A85344"/>
    <w:rsid w:val="00A85829"/>
    <w:rsid w:val="00A905F2"/>
    <w:rsid w:val="00A90FF1"/>
    <w:rsid w:val="00AA2A9C"/>
    <w:rsid w:val="00AA5B39"/>
    <w:rsid w:val="00AB6ABD"/>
    <w:rsid w:val="00AD70EB"/>
    <w:rsid w:val="00AE0581"/>
    <w:rsid w:val="00AE2AEF"/>
    <w:rsid w:val="00AE5F77"/>
    <w:rsid w:val="00AE7249"/>
    <w:rsid w:val="00B04611"/>
    <w:rsid w:val="00B25B9A"/>
    <w:rsid w:val="00B26E15"/>
    <w:rsid w:val="00B40471"/>
    <w:rsid w:val="00B40D1F"/>
    <w:rsid w:val="00B41C89"/>
    <w:rsid w:val="00B42764"/>
    <w:rsid w:val="00B42BFB"/>
    <w:rsid w:val="00B47A5A"/>
    <w:rsid w:val="00B47EB7"/>
    <w:rsid w:val="00B53B28"/>
    <w:rsid w:val="00B57EE3"/>
    <w:rsid w:val="00B6064B"/>
    <w:rsid w:val="00B729FF"/>
    <w:rsid w:val="00B73B8B"/>
    <w:rsid w:val="00B75D85"/>
    <w:rsid w:val="00B8575F"/>
    <w:rsid w:val="00B86075"/>
    <w:rsid w:val="00BA2157"/>
    <w:rsid w:val="00BC016E"/>
    <w:rsid w:val="00BE03DD"/>
    <w:rsid w:val="00BF3E32"/>
    <w:rsid w:val="00C02B75"/>
    <w:rsid w:val="00C064A9"/>
    <w:rsid w:val="00C0677E"/>
    <w:rsid w:val="00C067B2"/>
    <w:rsid w:val="00C11A7D"/>
    <w:rsid w:val="00C20F78"/>
    <w:rsid w:val="00C242AF"/>
    <w:rsid w:val="00C24827"/>
    <w:rsid w:val="00C47C4B"/>
    <w:rsid w:val="00C77D90"/>
    <w:rsid w:val="00C873B5"/>
    <w:rsid w:val="00CB2D24"/>
    <w:rsid w:val="00CC3180"/>
    <w:rsid w:val="00CC38AC"/>
    <w:rsid w:val="00CC62E5"/>
    <w:rsid w:val="00CD4209"/>
    <w:rsid w:val="00CD59A2"/>
    <w:rsid w:val="00CD6139"/>
    <w:rsid w:val="00CE12AA"/>
    <w:rsid w:val="00CE1F33"/>
    <w:rsid w:val="00CF78B3"/>
    <w:rsid w:val="00CF7CF8"/>
    <w:rsid w:val="00D01FA7"/>
    <w:rsid w:val="00D11668"/>
    <w:rsid w:val="00D1326B"/>
    <w:rsid w:val="00D17B1B"/>
    <w:rsid w:val="00D23481"/>
    <w:rsid w:val="00D274C5"/>
    <w:rsid w:val="00D34B58"/>
    <w:rsid w:val="00D42937"/>
    <w:rsid w:val="00D433BB"/>
    <w:rsid w:val="00D47D02"/>
    <w:rsid w:val="00D519FE"/>
    <w:rsid w:val="00D5288A"/>
    <w:rsid w:val="00D52FBD"/>
    <w:rsid w:val="00D66763"/>
    <w:rsid w:val="00D67FA7"/>
    <w:rsid w:val="00D738E1"/>
    <w:rsid w:val="00D74A71"/>
    <w:rsid w:val="00DA69AE"/>
    <w:rsid w:val="00DD0CA3"/>
    <w:rsid w:val="00DF049A"/>
    <w:rsid w:val="00DF4DFD"/>
    <w:rsid w:val="00DF594D"/>
    <w:rsid w:val="00DF6C7B"/>
    <w:rsid w:val="00E007DF"/>
    <w:rsid w:val="00E16CDD"/>
    <w:rsid w:val="00E24B3E"/>
    <w:rsid w:val="00E26413"/>
    <w:rsid w:val="00E3389F"/>
    <w:rsid w:val="00E37F27"/>
    <w:rsid w:val="00E44B9E"/>
    <w:rsid w:val="00E55A2C"/>
    <w:rsid w:val="00E61914"/>
    <w:rsid w:val="00E6561E"/>
    <w:rsid w:val="00E76743"/>
    <w:rsid w:val="00E82F99"/>
    <w:rsid w:val="00E83DDC"/>
    <w:rsid w:val="00E94BFA"/>
    <w:rsid w:val="00E97CBA"/>
    <w:rsid w:val="00EA0BC3"/>
    <w:rsid w:val="00EA67C2"/>
    <w:rsid w:val="00EA7A6F"/>
    <w:rsid w:val="00EB350F"/>
    <w:rsid w:val="00EC6DB2"/>
    <w:rsid w:val="00EE1A4B"/>
    <w:rsid w:val="00EE524E"/>
    <w:rsid w:val="00EF0F2A"/>
    <w:rsid w:val="00EF54BA"/>
    <w:rsid w:val="00F218E7"/>
    <w:rsid w:val="00F21DF6"/>
    <w:rsid w:val="00F33B56"/>
    <w:rsid w:val="00F43CBA"/>
    <w:rsid w:val="00F44094"/>
    <w:rsid w:val="00F4485B"/>
    <w:rsid w:val="00F47042"/>
    <w:rsid w:val="00F66E9C"/>
    <w:rsid w:val="00FA1271"/>
    <w:rsid w:val="00FA534E"/>
    <w:rsid w:val="00FB2130"/>
    <w:rsid w:val="00FB529E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7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66274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66274"/>
    <w:pPr>
      <w:suppressAutoHyphens/>
      <w:ind w:left="2880" w:hanging="720"/>
    </w:pPr>
  </w:style>
  <w:style w:type="table" w:styleId="TableGrid">
    <w:name w:val="Table Grid"/>
    <w:basedOn w:val="TableNormal"/>
    <w:rsid w:val="008662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27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66274"/>
    <w:rPr>
      <w:rFonts w:ascii="Times Roman" w:hAnsi="Times Roman"/>
    </w:rPr>
  </w:style>
  <w:style w:type="paragraph" w:customStyle="1" w:styleId="TemplateBody">
    <w:name w:val="Template Body"/>
    <w:basedOn w:val="Normal"/>
    <w:rsid w:val="00866274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66274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66274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66274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66274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66274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DF6C7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7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66274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66274"/>
    <w:pPr>
      <w:suppressAutoHyphens/>
      <w:ind w:left="2880" w:hanging="720"/>
    </w:pPr>
  </w:style>
  <w:style w:type="table" w:styleId="TableGrid">
    <w:name w:val="Table Grid"/>
    <w:basedOn w:val="TableNormal"/>
    <w:rsid w:val="008662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27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66274"/>
    <w:rPr>
      <w:rFonts w:ascii="Times Roman" w:hAnsi="Times Roman"/>
    </w:rPr>
  </w:style>
  <w:style w:type="paragraph" w:customStyle="1" w:styleId="TemplateBody">
    <w:name w:val="Template Body"/>
    <w:basedOn w:val="Normal"/>
    <w:rsid w:val="00866274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66274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66274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66274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66274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66274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DF6C7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3F3E2-0DA3-4F2C-AC53-415594B1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37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yadayada3857</dc:creator>
  <cp:lastModifiedBy>Lauren van Schilfgaarde</cp:lastModifiedBy>
  <cp:revision>9</cp:revision>
  <cp:lastPrinted>2015-02-24T21:27:00Z</cp:lastPrinted>
  <dcterms:created xsi:type="dcterms:W3CDTF">2015-08-25T20:46:00Z</dcterms:created>
  <dcterms:modified xsi:type="dcterms:W3CDTF">2016-04-21T23:09:00Z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